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Minutes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MOEC Board Meeting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December 17, 2018 at READS Collaborative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10:00 a.m. – 12:00 p.m.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Attendees: Joanne Haley Sullivan, Cathy Lawson, Liz McGonagle, Steve Donovan, Theresa Craig, Beth Fitzmaurice, Catherine Cooper, Mike Tempesta, Richard Murphy, Nadie Ekstrom, Chris Scott, and Nina Marchese.</w:t>
      </w:r>
    </w:p>
    <w:p w:rsidR="00000000" w:rsidDel="00000000" w:rsidP="00000000" w:rsidRDefault="00000000" w:rsidRPr="00000000" w14:paraId="00000007">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8">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meeting began with the presentation of the Executive Director’s Report.  A brief</w:t>
      </w:r>
      <w:r w:rsidDel="00000000" w:rsidR="00000000" w:rsidRPr="00000000">
        <w:rPr>
          <w:rFonts w:ascii="Cambria" w:cs="Cambria" w:eastAsia="Cambria" w:hAnsi="Cambria"/>
          <w:color w:val="000000"/>
          <w:sz w:val="22"/>
          <w:szCs w:val="22"/>
          <w:rtl w:val="0"/>
        </w:rPr>
        <w:t xml:space="preserve"> review was given of conferences attended this past month.  Members were invited to attend the AESA Federal Advocacy Committee Meeting in D.C.  Updates were provided on both the legislative meeting with Pat Haddad to discuss the collaborative bill and Bill Diehl’s meeting with Senator Hinds to discuss ethics bill.</w:t>
      </w:r>
      <w:r w:rsidDel="00000000" w:rsidR="00000000" w:rsidRPr="00000000">
        <w:rPr>
          <w:rtl w:val="0"/>
        </w:rPr>
      </w:r>
    </w:p>
    <w:p w:rsidR="00000000" w:rsidDel="00000000" w:rsidP="00000000" w:rsidRDefault="00000000" w:rsidRPr="00000000" w14:paraId="00000009">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A">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board unanimously approved the minutes with one amended language change from the November 2018 board meeting.</w:t>
      </w:r>
    </w:p>
    <w:p w:rsidR="00000000" w:rsidDel="00000000" w:rsidP="00000000" w:rsidRDefault="00000000" w:rsidRPr="00000000" w14:paraId="0000000B">
      <w:pPr>
        <w:widowControl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Treasurer Report by Mike Tempesta included the 2017 Financial Review and 2017 Tax Return as prepared by Spinelli CPA. Both were unanimously accepted.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widowControl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board unanimously approved the contract renewal for O’Neill and Associates for 2019.</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Regional Representatives gave brief reports of issues and plans in their regions.  Central: will be meeting in January. North: no report. Greater Boston: discussed the challenge of finding space in public schools. Southeast: talked about the Behavioral Health Institute and new regulations from Medicaid.  They will be contacting someone from Medicaid and DESE to clarify these new regulations. West: discussed legislation and are working on a problem of practice to bring to the next meeting.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brief discussion was held regarding the SCRO Salary Survey. It was decided that this would be most effective if completed at the regional level verses statewide. Reports were presented on both the Safe and Supportive Schools Commission and DESE SPED Advisory Council. Nina Marchese reported that DESE is working on revising Form 1 and will begin revisions on Form 2 in 2019. Additionally, Jay Sullivan will be presenting in January new future collaborative data collection.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Board unanimously approved the committee membership assignments of Beth Fitzmaurice as MOEC Representative, with David Heimbecker as the alternate to the Special Education Advisory Council, Nadine Ekstrom as a member on the MOEC PD Committee, Catherine Cooper as Chair of MOEC Legislative Committee, and Chris Scott as Chair of MOEC By-Laws Committee.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Board reviewed and discussed the proposed language for the Exemption to the Ethics Law. They approved the language with revisions.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Board next discussed whether we should have representation in the Coalition for Special Education Funding, Day on the Hill in February 2019.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Board reviewed the Strategic Priority Plan for this year (2018-2019). The Board unanimously approved the plan as presented.  There was a follow-up discussion to seek a legal opinion whether collaboratives are eligible for MSBA funding.</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Lastly, agenda items and plans for January’s General Membership Meeting were brought forward.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Meeting adjourned at 12:30 p.m.</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first"/>
      <w:footerReference r:id="rId7"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2527300</wp:posOffset>
              </wp:positionH>
              <wp:positionV relativeFrom="paragraph">
                <wp:posOffset>-101599</wp:posOffset>
              </wp:positionV>
              <wp:extent cx="4359275" cy="799523"/>
              <wp:effectExtent b="0" l="0" r="0" t="0"/>
              <wp:wrapNone/>
              <wp:docPr id="1" name=""/>
              <a:graphic>
                <a:graphicData uri="http://schemas.microsoft.com/office/word/2010/wordprocessingShape">
                  <wps:wsp>
                    <wps:cNvSpPr/>
                    <wps:cNvPr id="2" name="Shape 2"/>
                    <wps:spPr>
                      <a:xfrm>
                        <a:off x="3180650" y="3480280"/>
                        <a:ext cx="4330700" cy="599440"/>
                      </a:xfrm>
                      <a:prstGeom prst="rect">
                        <a:avLst/>
                      </a:prstGeom>
                      <a:noFill/>
                      <a:ln>
                        <a:noFill/>
                      </a:ln>
                    </wps:spPr>
                    <wps:txbx>
                      <w:txbxContent>
                        <w:p w:rsidR="00000000" w:rsidDel="00000000" w:rsidP="00000000" w:rsidRDefault="00000000" w:rsidRPr="00000000">
                          <w:pPr>
                            <w:spacing w:after="0" w:before="8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t xml:space="preserve">33 Water St.  Sandwich, MA 02563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r>
                          <w:r w:rsidDel="00000000" w:rsidR="00000000" w:rsidRPr="00000000">
                            <w:rPr>
                              <w:rFonts w:ascii="Arial" w:cs="Arial" w:eastAsia="Arial" w:hAnsi="Arial"/>
                              <w:b w:val="0"/>
                              <w:i w:val="0"/>
                              <w:smallCaps w:val="0"/>
                              <w:strike w:val="0"/>
                              <w:color w:val="67940c"/>
                              <w:sz w:val="18"/>
                              <w:vertAlign w:val="baseline"/>
                            </w:rPr>
                            <w:t xml:space="preserve">(774) 313-6650  jhaleysullivan@moecnet.org</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67940c"/>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67940c"/>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2527300</wp:posOffset>
              </wp:positionH>
              <wp:positionV relativeFrom="paragraph">
                <wp:posOffset>-101599</wp:posOffset>
              </wp:positionV>
              <wp:extent cx="4359275" cy="799523"/>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359275" cy="799523"/>
                      </a:xfrm>
                      <a:prstGeom prst="rect"/>
                      <a:ln/>
                    </pic:spPr>
                  </pic:pic>
                </a:graphicData>
              </a:graphic>
            </wp:anchor>
          </w:drawing>
        </mc:Fallback>
      </mc:AlternateConten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4516120</wp:posOffset>
          </wp:positionH>
          <wp:positionV relativeFrom="paragraph">
            <wp:posOffset>-60956</wp:posOffset>
          </wp:positionV>
          <wp:extent cx="2417445" cy="95377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17445" cy="953770"/>
                  </a:xfrm>
                  <a:prstGeom prst="rect"/>
                  <a:ln/>
                </pic:spPr>
              </pic:pic>
            </a:graphicData>
          </a:graphic>
        </wp:anchor>
      </w:drawing>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4359275" cy="475615"/>
              <wp:effectExtent b="0" l="0" r="0" t="0"/>
              <wp:wrapNone/>
              <wp:docPr id="2" name=""/>
              <a:graphic>
                <a:graphicData uri="http://schemas.microsoft.com/office/word/2010/wordprocessingShape">
                  <wps:wsp>
                    <wps:cNvSpPr/>
                    <wps:cNvPr id="3" name="Shape 3"/>
                    <wps:spPr>
                      <a:xfrm>
                        <a:off x="3180650" y="3556480"/>
                        <a:ext cx="4330700" cy="44704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t xml:space="preserve">Massachusetts Organization of Educational Collaboratives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269ac"/>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4359275" cy="47561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359275" cy="475615"/>
                      </a:xfrm>
                      <a:prstGeom prst="rect"/>
                      <a:ln/>
                    </pic:spPr>
                  </pic:pic>
                </a:graphicData>
              </a:graphic>
            </wp:anchor>
          </w:drawing>
        </mc:Fallback>
      </mc:AlternateConten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w:cs="Times" w:eastAsia="Times" w:hAnsi="Time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w:cs="Times" w:eastAsia="Times" w:hAnsi="Time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w:cs="Times" w:eastAsia="Times" w:hAnsi="Time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w:cs="Times" w:eastAsia="Times" w:hAnsi="Time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w:cs="Times" w:eastAsia="Times" w:hAnsi="Times"/>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