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Minutes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MOEC Board Meeting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February 11, 2019 @ TEC Collaborative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10:00 a.m. – 2:00 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63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Attendees: Joanne Haley Sullivan, Cathy Lawson, Liz McGonagle, Steve Donovan, Bill Diehl, Theresa Craig, Beth Fitzmaurice, Catherine Cooper, Jacki Clark, Mike Tempesta, Chris Scott, Rick Reino, Christina Romanewicz (DESE), Ruth Hersh (DESE), and Barry Barnett (DESE).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Liz McGonagle facilitated this meeting. The meeting began with the presentation of the Executive Director’s Report.  A brief summary was shared of meetings held regionally and in Washington DC.  The request that a Human Resource Job Alike group be formed was cited and was unanimously accepted.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Minutes from the December 2018 Board Meeting were presented and unanimously approved by the Board.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Mike Tempesta presented the Treasurer’s Report to date.  The recommendation was made to go from the Desktop version of QuickBooks to the online version to increase transparency and efficiency within MOEC. The motion was made to make this change effective immediately and was unanimously accepted.  The Treasurer’s Report was then accepted as presented.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Board discussed the implications of the newly amended Collaborative Law and how to proceed as an organization.  Catherine Cooper made suggestions regarding the role of Regional Representatives and the adjustments that would need to be made regarding the term limits for the representatives.  Liz McGonagle led the discussion regarding the current MOEC regions. Ruth Hirsh from DESE shared her work plan moving forward with the commissioner and MOEC. The board moved to establish a Collaborative Bill Steering Committee to continue reviewing this topic and was unanimously approved. The committee will be established through the process adopted to appoint members to MOEC committees and will include one representative from each region and one from DESE.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Regional Representatives gave brief reports from their regions. NE: discussed the legislation bill.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Southeast: discussed the Behavioral Health Symposium, the House Bill regarding funding for Recovery High Schools, and the Virtual Learning Academy has been postponed indefinitely.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Central: met last month and discussed the legislation bill. West: working on transportation bid, reaching to the Berkshires to create a collaborative, meeting with new Superintendents and legislators to discuss SPED Circuit Breaker, transportation, and other needs. GB: </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met with Superintendents.</w:t>
      </w: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 Regional DESE meetings were all well attended.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Legislative Committee – Catherine Cooper attended the Circuit Breaker Meeting in Boston, which was well attended.  MOEC needs to have a presence in the future with a speaker. The Professional Development Committee – A survey will be going out to the executive directors to gather PD needs/skills/opportunities within each collaborative.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Barry Barnett from DESE called in to discuss and provide clarification on updated Form 1 and Form 3.  The changes are effective immediately.  Any feedback or questions, please contact him.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Board discussed the need for continuance of an Annual Report.  It was determined the MOEC needs to produce simple marketing products such as a brochure or quick reference guide with real photos, captions, facts/financial benefits, map, and overarching information.  An annual report is no longer needed.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relationship that MOEC has with M.A.S.S. was discussed last.  Joanne met with Tom Scott recently. It was suggested that being a part of New Superintendent Orientation would be helpful to lay the foundation for a better partnership between the districts and collaboratives.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270" w:right="270" w:firstLine="0"/>
        <w:jc w:val="left"/>
        <w:rPr>
          <w:rFonts w:ascii="Cambria" w:cs="Cambria" w:eastAsia="Cambria" w:hAnsi="Cambria"/>
          <w:b w:val="0"/>
          <w:i w:val="0"/>
          <w:smallCaps w:val="0"/>
          <w:strike w:val="0"/>
          <w:sz w:val="20"/>
          <w:szCs w:val="20"/>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sz w:val="20"/>
          <w:szCs w:val="20"/>
          <w:u w:val="none"/>
          <w:shd w:fill="auto" w:val="clear"/>
          <w:vertAlign w:val="baseline"/>
          <w:rtl w:val="0"/>
        </w:rPr>
        <w:t xml:space="preserve">The meeting was adjourned at 2:10 p.m.</w:t>
      </w:r>
    </w:p>
    <w:sectPr>
      <w:headerReference r:id="rId6" w:type="first"/>
      <w:footerReference r:id="rId7" w:type="first"/>
      <w:pgSz w:h="15840" w:w="12240"/>
      <w:pgMar w:bottom="45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59275" cy="799523"/>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4516120</wp:posOffset>
          </wp:positionH>
          <wp:positionV relativeFrom="paragraph">
            <wp:posOffset>-60956</wp:posOffset>
          </wp:positionV>
          <wp:extent cx="2417445" cy="95377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7445" cy="953770"/>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
              <a:graphic>
                <a:graphicData uri="http://schemas.microsoft.com/office/word/2010/wordprocessingShape">
                  <wps:wsp>
                    <wps:cNvSpPr/>
                    <wps:cNvPr id="3" name="Shape 3"/>
                    <wps:spPr>
                      <a:xfrm>
                        <a:off x="3180650" y="355648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59275" cy="475615"/>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